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4393550febd0997dff266a819e1dce93253352"/>
    <w:p>
      <w:pPr>
        <w:pStyle w:val="Heading3"/>
      </w:pPr>
      <w:r>
        <w:t xml:space="preserve">План противодействия коррупции в структурных подразделениях префектуры и управах районов Северо-Восточного административного округа города Москвы на 2018-2019 гг.</w:t>
      </w:r>
    </w:p>
    <w:p>
      <w:pPr>
        <w:pStyle w:val="FirstParagraph"/>
      </w:pPr>
      <w:r>
        <w:t xml:space="preserve">18.01.2018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http://svao.mos.ru/anti-corruption/plans-papers-reports-reviews-static-information-on-combating-corruption/detail/7095101.html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anti-corruption/plans-papers-reports-reviews-static-information-on-combating-corruption/detail/70951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anti-corruption/plans-papers-reports-reviews-static-information-on-combating-corruption/detail/70951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2025-05-02T07:44:53Z</dcterms:created>
  <dcterms:modified xsi:type="dcterms:W3CDTF">2025-05-02T07:44:53Z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