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b21857a7bec7997296aea7401a9edf3638b2b"/>
    <w:p>
      <w:pPr>
        <w:pStyle w:val="Heading3"/>
      </w:pPr>
      <w:r>
        <w:t xml:space="preserve">Два участка нежилой застройки в СВАО будут реорганизованы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26.09.2024. Три участка нежилой застройки в Москве площадью 6,92 гектара будут реорганизованы в рамках программы комплексного развития территорий (КРТ). Их градостроительный потенциал составляет 184,25 тысячи квадратных метров недвижимости. Здесь планируется создать около 2,1 тысячи новых рабочих мест. Соответствующие постановления подписал Сергей Собянин.</w:t>
      </w:r>
    </w:p>
    <w:p>
      <w:pPr>
        <w:pStyle w:val="BodyText"/>
      </w:pPr>
      <w:r>
        <w:t xml:space="preserve">Два земельных участка находятся в районах Ростокино и Свиблово по адресам: Сельскохозяйственная улица, владение 4 и проезд Русанова, владения 2–6. Здесь планируется возвести 130,65 тысячи квадратных метров недвижимости, включая жилье, в том числе по программе реновации. Помимо этого, появится гостиница на 300 номеров, подстанция скорой помощи на 10 машино-мест, помещения двух судебных участков мировых судей и другие объекты общественно-делового назначения. На реорганизованных участках создадут свыше 870 рабочих мест.</w:t>
      </w:r>
    </w:p>
    <w:p>
      <w:pPr>
        <w:pStyle w:val="BodyText"/>
      </w:pPr>
      <w:r>
        <w:t xml:space="preserve">Кроме того, редевелопменту подлежит участок в районе Нагатино-Садовники, расположенный по адресу: Каширское шоссе, владение 25б. Там построят 53,6 тысячи квадратных метров недвижимости, в том числе гостиницу на 250 номеров, а также некапитальный торгово-бытовой объект. Реорганизация территории позволит создать свыше 1,2 тысячи рабочих мест.</w:t>
      </w:r>
    </w:p>
    <w:p>
      <w:pPr>
        <w:pStyle w:val="BodyText"/>
      </w:pPr>
      <w:r>
        <w:rPr>
          <w:iCs/>
          <w:i/>
          <w:bCs/>
          <w:b/>
        </w:rPr>
        <w:t xml:space="preserve">Фото: Е. Самарина. Пресс-служба мэра и Правительства Москвы /</w:t>
      </w:r>
      <w:hyperlink r:id="rId20">
        <w:r>
          <w:rPr>
            <w:rStyle w:val="Hyperlink"/>
            <w:iCs/>
            <w:i/>
            <w:bCs/>
            <w:b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http://svao.mos.ru/presscenter/news/detail/12585306.html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85306.html" TargetMode="External" /><Relationship Type="http://schemas.openxmlformats.org/officeDocument/2006/relationships/hyperlink" Id="rId20" Target="https://www.mos.ru/mayor/themes/11826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85306.html" TargetMode="External" /><Relationship Type="http://schemas.openxmlformats.org/officeDocument/2006/relationships/hyperlink" Id="rId20" Target="https://www.mos.ru/mayor/themes/11826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2025-02-21T07:14:57Z</dcterms:created>
  <dcterms:modified xsi:type="dcterms:W3CDTF">2025-02-21T07:14:57Z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