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ebbf4f155b9866df59dcba71c8848e6bd98f7e"/>
    <w:p>
      <w:pPr>
        <w:pStyle w:val="Heading3"/>
      </w:pPr>
      <w:r>
        <w:t xml:space="preserve">Верховный суд разъяснил право работодателям уволить выпивающего в рабочее время вне офиса работника</w:t>
      </w:r>
    </w:p>
    <w:p>
      <w:pPr>
        <w:pStyle w:val="FirstParagraph"/>
      </w:pPr>
      <w:r>
        <w:t xml:space="preserve">17.10.2023</w:t>
      </w:r>
    </w:p>
    <w:p>
      <w:pPr>
        <w:pStyle w:val="BodyText"/>
      </w:pPr>
      <w:r>
        <w:t xml:space="preserve">Закон возлагает на работника требование добросовестного выполнения своих трудовых обязанностей, соблюдения трудовой дисциплины и правил внутреннего трудового распорядка организации.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 В случае нарушения данных правил законодатель предусмотрел ряд санкций, применяемых к работнику - нарушителю трудовой дисциплины.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 Трудовой договор может быть расторгнут между участниками трудовых правоотношений в случае однократного грубого нарушения работником своих обязанностей, вытекающих из трудового договора. Например, появления работника на рабочем месте либо на территории организации — работодателя или объекта, где по поручению работодателя работник должен выполнять трудовую функцию в состоянии алкогольного, наркотического или иного токсического опьянении (пп. «б» п. 6 ч. 1 ст. 81 Трудового кодекса Российской Федерации)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 Отстранялся или нет сотрудник от работы в связи с нахождением в нетрезвом состоянии - значения не имеет. В данном случае доказательством опьянения могут служить помимо результатов медицинского освидетельствования еще и другие документы, которые должны быть соответственно оценены судом (п. 42 постановления Пленума ВС РФ от 17 марта 2004 г. №2).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Закон не содержит норм о том, что факт такого нарушения должен быть подтверждён только определёнными средствами доказывания.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http://svao.mos.ru/the-rule-of-law-and-safety/the-prosecutor-explains/detail/11910745.html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the-rule-of-law-and-safety/the-prosecutor-explains/detail/1191074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vao.mos.ru" TargetMode="External" /><Relationship Type="http://schemas.openxmlformats.org/officeDocument/2006/relationships/hyperlink" Id="rId20" Target="http://svao.mos.ru/the-rule-of-law-and-safety/the-prosecutor-explains/detail/1191074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2025-02-15T23:17:20Z</dcterms:created>
  <dcterms:modified xsi:type="dcterms:W3CDTF">2025-02-15T23:17:20Z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