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6f546fd3cef4500d3bdd343cf52000232c2d06"/>
    <w:p>
      <w:pPr>
        <w:pStyle w:val="Heading3"/>
      </w:pPr>
      <w:r>
        <w:t xml:space="preserve">Прокуратурой СВАО утверждено обвинительное заключение по уголовному делу в отношении гражданки Г.</w:t>
      </w:r>
    </w:p>
    <w:p>
      <w:pPr>
        <w:pStyle w:val="FirstParagraph"/>
      </w:pPr>
      <w:r>
        <w:t xml:space="preserve">26.12.2024</w:t>
      </w:r>
    </w:p>
    <w:p>
      <w:pPr>
        <w:pStyle w:val="BodyText"/>
      </w:pPr>
      <w:r>
        <w:t xml:space="preserve">Прокуратурой Северо-Восточного административного округа г. Москвы утверждено обвинительное заключение по уголовному делу в отношении гражданки Г., обвиняемой в совершении 12 преступлений, предусмотренных ч. 4 ст. 159 УК РФ (мошенничество, то есть приобретение права на чужое имущество путем обмана, совершенное организованной группой, в особо крупном размере).</w:t>
      </w:r>
    </w:p>
    <w:p>
      <w:pPr>
        <w:pStyle w:val="BodyText"/>
      </w:pPr>
      <w:r>
        <w:t xml:space="preserve">Установлено, что Г. и иные соучастники в период с 2017-2022 гг. разработали план хищения путем обмана права собственности, в том числе, на выморочное имущество, входящее в жилой фонд г. Москвы.</w:t>
      </w:r>
    </w:p>
    <w:p>
      <w:pPr>
        <w:pStyle w:val="BodyText"/>
      </w:pPr>
      <w:r>
        <w:t xml:space="preserve">Так, не позднее 15.07.2020 Г., используя подложный паспорт гражданки другого государства, путем обмана совместно с иными соучастниками предоставила в Управление Федеральной Службы кадастра и картографии по Москве подложное свидетельство о праве на наследство по закону от 15.07.2020, состоящее из квартиры, принадлежавшей умершему гражданину, в результате чего 22.07.2020 произведена государственная регистрация права собственности на вышеуказанную квартиру, причинив Департаменту городского имущества Москвы материальный ущерб в особо крупном размере на сумму свыше 5 миллионов рублей, а также используя подложные документы путем предоставления в ПАО «Сбербанк» похитили денежные средства в сумме более 500 тысяч рублей, находившиеся на счетах умершего.</w:t>
      </w:r>
    </w:p>
    <w:p>
      <w:pPr>
        <w:pStyle w:val="BodyText"/>
      </w:pPr>
      <w:r>
        <w:t xml:space="preserve">В ходе расследования установлено, что фигурантка, совместно</w:t>
      </w:r>
      <w:r>
        <w:br/>
      </w:r>
      <w:r>
        <w:t xml:space="preserve">с соучастниками совершили 11 аналогичных преступлений в отношении объектов недвижимого имущества, принадлежащих умершим гражданам РФ, расположенным в г. Москве.</w:t>
      </w:r>
    </w:p>
    <w:p>
      <w:pPr>
        <w:pStyle w:val="BodyText"/>
      </w:pPr>
      <w:r>
        <w:t xml:space="preserve">В ходе следствия в установленном законом порядке на объекты недвижимого имущества – квартиры, наложены аресты, часть из которых возвращена законным собственникам.</w:t>
      </w:r>
    </w:p>
    <w:p>
      <w:pPr>
        <w:pStyle w:val="BodyText"/>
      </w:pPr>
      <w:r>
        <w:t xml:space="preserve">Обвиняемой избрана мера пресечения в виде подписки о невыезде</w:t>
      </w:r>
      <w:r>
        <w:br/>
      </w:r>
      <w:r>
        <w:t xml:space="preserve">и надлежащем поведении.</w:t>
      </w:r>
    </w:p>
    <w:p>
      <w:pPr>
        <w:pStyle w:val="BodyText"/>
      </w:pPr>
      <w:r>
        <w:t xml:space="preserve">Уголовное дело направлено в Лефортовский районный суд</w:t>
      </w:r>
      <w:r>
        <w:br/>
      </w:r>
      <w:r>
        <w:t xml:space="preserve">г. Москвы для рассмотрения по существу.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http://svao.mos.ru/the-rule-of-law-and-safety/the-prosecutor-explains/detail/12742277.html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the-rule-of-law-and-safety/the-prosecutor-explains/detail/127422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the-rule-of-law-and-safety/the-prosecutor-explains/detail/127422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2025-02-21T18:53:38Z</dcterms:created>
  <dcterms:modified xsi:type="dcterms:W3CDTF">2025-02-21T18:53:38Z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